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9CE" w:rsidRPr="00DB21D3" w:rsidRDefault="003159CE" w:rsidP="003159CE">
      <w:pPr>
        <w:spacing w:line="240" w:lineRule="auto"/>
        <w:jc w:val="right"/>
        <w:rPr>
          <w:b/>
          <w:szCs w:val="24"/>
          <w:lang w:eastAsia="en-US"/>
        </w:rPr>
      </w:pPr>
      <w:r w:rsidRPr="00DB21D3">
        <w:rPr>
          <w:b/>
          <w:szCs w:val="24"/>
          <w:lang w:eastAsia="en-US"/>
        </w:rPr>
        <w:t>Nacrt</w:t>
      </w:r>
    </w:p>
    <w:p w:rsidR="003159CE" w:rsidRDefault="003159CE" w:rsidP="003159CE">
      <w:pPr>
        <w:pStyle w:val="TyponineSans"/>
        <w:spacing w:line="120" w:lineRule="auto"/>
      </w:pPr>
      <w:r w:rsidRPr="009F4D1F">
        <w:rPr>
          <w:rFonts w:ascii="Times New Roman" w:hAnsi="Times New Roman" w:cs="Times New Roman"/>
          <w:smallCaps w:val="0"/>
          <w:sz w:val="24"/>
          <w:szCs w:val="24"/>
        </w:rPr>
        <w:tab/>
      </w:r>
      <w:r>
        <w:tab/>
      </w:r>
      <w:r>
        <w:tab/>
      </w:r>
      <w:r>
        <w:tab/>
      </w:r>
    </w:p>
    <w:p w:rsidR="003159CE" w:rsidRDefault="003159CE" w:rsidP="003159CE">
      <w:pPr>
        <w:spacing w:line="240" w:lineRule="auto"/>
        <w:jc w:val="center"/>
        <w:rPr>
          <w:b/>
          <w:szCs w:val="24"/>
          <w:lang w:eastAsia="en-US"/>
        </w:rPr>
      </w:pPr>
      <w:r w:rsidRPr="002869DE">
        <w:rPr>
          <w:b/>
          <w:szCs w:val="24"/>
          <w:lang w:eastAsia="en-US"/>
        </w:rPr>
        <w:t>Izvješće o vođenim pregovorima za</w:t>
      </w:r>
      <w:r>
        <w:rPr>
          <w:b/>
          <w:szCs w:val="24"/>
          <w:lang w:eastAsia="en-US"/>
        </w:rPr>
        <w:t xml:space="preserve"> </w:t>
      </w:r>
      <w:r w:rsidRPr="002869DE">
        <w:rPr>
          <w:b/>
          <w:szCs w:val="24"/>
          <w:lang w:eastAsia="en-US"/>
        </w:rPr>
        <w:t>sklapanje</w:t>
      </w:r>
      <w:r>
        <w:rPr>
          <w:b/>
          <w:szCs w:val="24"/>
          <w:lang w:eastAsia="en-US"/>
        </w:rPr>
        <w:t xml:space="preserve"> </w:t>
      </w:r>
      <w:r w:rsidRPr="00E56588">
        <w:rPr>
          <w:b/>
          <w:szCs w:val="24"/>
          <w:lang w:eastAsia="en-US"/>
        </w:rPr>
        <w:t>Ugovora o zajmu između Republike Hrvatske i Međunarodne banke za obnovu i razvoj za Projekt „Hrvatska: ususret održivom, pravednom i učinkovitom obrazovanju“</w:t>
      </w:r>
    </w:p>
    <w:p w:rsidR="003159CE" w:rsidRPr="002869DE" w:rsidRDefault="003159CE" w:rsidP="003159CE">
      <w:pPr>
        <w:spacing w:line="240" w:lineRule="auto"/>
        <w:jc w:val="center"/>
        <w:rPr>
          <w:b/>
          <w:szCs w:val="24"/>
          <w:lang w:eastAsia="en-US"/>
        </w:rPr>
      </w:pPr>
    </w:p>
    <w:p w:rsidR="003159CE" w:rsidRDefault="003159CE" w:rsidP="003159CE">
      <w:pPr>
        <w:spacing w:line="240" w:lineRule="auto"/>
        <w:jc w:val="both"/>
        <w:rPr>
          <w:szCs w:val="24"/>
          <w:lang w:eastAsia="en-US"/>
        </w:rPr>
      </w:pPr>
      <w:r w:rsidRPr="008A700A">
        <w:rPr>
          <w:szCs w:val="24"/>
          <w:lang w:eastAsia="en-US"/>
        </w:rPr>
        <w:t xml:space="preserve">Vlada Republike Hrvatske donijela je Odluku </w:t>
      </w:r>
      <w:r w:rsidRPr="00E56588">
        <w:rPr>
          <w:szCs w:val="24"/>
          <w:lang w:eastAsia="en-US"/>
        </w:rPr>
        <w:t>o pokretanju postupka za sklapanje Ugovora o zajmu između Republike Hrvatske i Međunarodne banke za obnovu i razvoj za Projekt „Hrvatska: ususret održivom, pravednom i učinkovitom obrazovanju“</w:t>
      </w:r>
      <w:r w:rsidRPr="00E56588" w:rsidDel="00E56588">
        <w:rPr>
          <w:szCs w:val="24"/>
          <w:lang w:eastAsia="en-US"/>
        </w:rPr>
        <w:t xml:space="preserve"> </w:t>
      </w:r>
      <w:r w:rsidRPr="008A700A">
        <w:rPr>
          <w:szCs w:val="24"/>
          <w:lang w:eastAsia="en-US"/>
        </w:rPr>
        <w:t xml:space="preserve">(u daljnjem tekstu: Ugovor o </w:t>
      </w:r>
      <w:r>
        <w:rPr>
          <w:szCs w:val="24"/>
          <w:lang w:eastAsia="en-US"/>
        </w:rPr>
        <w:t>zajmu</w:t>
      </w:r>
      <w:r w:rsidRPr="008A700A">
        <w:rPr>
          <w:szCs w:val="24"/>
          <w:lang w:eastAsia="en-US"/>
        </w:rPr>
        <w:t xml:space="preserve">), </w:t>
      </w:r>
      <w:r w:rsidRPr="00FC18F3">
        <w:rPr>
          <w:szCs w:val="24"/>
          <w:lang w:eastAsia="en-US"/>
        </w:rPr>
        <w:t>KLASA:022-03/21-11/52, URBROJ:50301-04/12-21-3,</w:t>
      </w:r>
      <w:r w:rsidRPr="008A700A">
        <w:rPr>
          <w:szCs w:val="24"/>
          <w:lang w:eastAsia="en-US"/>
        </w:rPr>
        <w:t xml:space="preserve"> od </w:t>
      </w:r>
      <w:r>
        <w:rPr>
          <w:szCs w:val="24"/>
          <w:lang w:eastAsia="en-US"/>
        </w:rPr>
        <w:t>14</w:t>
      </w:r>
      <w:r w:rsidRPr="008A700A">
        <w:rPr>
          <w:szCs w:val="24"/>
          <w:lang w:eastAsia="en-US"/>
        </w:rPr>
        <w:t xml:space="preserve">. </w:t>
      </w:r>
      <w:r>
        <w:rPr>
          <w:szCs w:val="24"/>
          <w:lang w:eastAsia="en-US"/>
        </w:rPr>
        <w:t>listopada</w:t>
      </w:r>
      <w:r w:rsidRPr="008A700A">
        <w:rPr>
          <w:szCs w:val="24"/>
          <w:lang w:eastAsia="en-US"/>
        </w:rPr>
        <w:t xml:space="preserve"> 2021. godine (u daljnjem tekstu: Odluka o pokretanju postupka)</w:t>
      </w:r>
      <w:r>
        <w:rPr>
          <w:szCs w:val="24"/>
          <w:lang w:eastAsia="en-US"/>
        </w:rPr>
        <w:t>.</w:t>
      </w:r>
      <w:r w:rsidRPr="008A700A">
        <w:rPr>
          <w:szCs w:val="24"/>
          <w:lang w:eastAsia="en-US"/>
        </w:rPr>
        <w:t xml:space="preserve"> Temeljem Odluke o pokretanju postupka,</w:t>
      </w:r>
      <w:r>
        <w:rPr>
          <w:szCs w:val="24"/>
          <w:lang w:eastAsia="en-US"/>
        </w:rPr>
        <w:t xml:space="preserve"> </w:t>
      </w:r>
      <w:r w:rsidRPr="008A700A">
        <w:rPr>
          <w:szCs w:val="24"/>
          <w:lang w:eastAsia="en-US"/>
        </w:rPr>
        <w:t xml:space="preserve">ovlašteno izaslanstvo Republike Hrvatske započelo je </w:t>
      </w:r>
      <w:r>
        <w:rPr>
          <w:szCs w:val="24"/>
          <w:lang w:eastAsia="en-US"/>
        </w:rPr>
        <w:t>14</w:t>
      </w:r>
      <w:r w:rsidRPr="008A700A">
        <w:rPr>
          <w:szCs w:val="24"/>
          <w:lang w:eastAsia="en-US"/>
        </w:rPr>
        <w:t xml:space="preserve">. </w:t>
      </w:r>
      <w:r>
        <w:rPr>
          <w:szCs w:val="24"/>
          <w:lang w:eastAsia="en-US"/>
        </w:rPr>
        <w:t>listopada</w:t>
      </w:r>
      <w:r w:rsidRPr="008A700A">
        <w:rPr>
          <w:szCs w:val="24"/>
          <w:lang w:eastAsia="en-US"/>
        </w:rPr>
        <w:t xml:space="preserve"> 2021. godine pregovore s predstavnicima Međunarodne banke za obnovu i razvoj</w:t>
      </w:r>
      <w:r>
        <w:rPr>
          <w:szCs w:val="24"/>
          <w:lang w:eastAsia="en-US"/>
        </w:rPr>
        <w:t>.</w:t>
      </w:r>
      <w:r w:rsidRPr="008A700A">
        <w:rPr>
          <w:szCs w:val="24"/>
          <w:lang w:eastAsia="en-US"/>
        </w:rPr>
        <w:t xml:space="preserve"> Navedeni pregovori zaključeni su </w:t>
      </w:r>
      <w:r>
        <w:rPr>
          <w:szCs w:val="24"/>
          <w:lang w:eastAsia="en-US"/>
        </w:rPr>
        <w:t>15</w:t>
      </w:r>
      <w:r w:rsidRPr="008A700A">
        <w:rPr>
          <w:szCs w:val="24"/>
          <w:lang w:eastAsia="en-US"/>
        </w:rPr>
        <w:t xml:space="preserve">. </w:t>
      </w:r>
      <w:r>
        <w:rPr>
          <w:szCs w:val="24"/>
          <w:lang w:eastAsia="en-US"/>
        </w:rPr>
        <w:t>listopada</w:t>
      </w:r>
      <w:r w:rsidRPr="008A700A">
        <w:rPr>
          <w:szCs w:val="24"/>
          <w:lang w:eastAsia="en-US"/>
        </w:rPr>
        <w:t xml:space="preserve"> 2021. godine potpisivanjem Zapisnika u kojem su izneseni detalji o vođenim pregovorima ugovornih strana. </w:t>
      </w:r>
    </w:p>
    <w:p w:rsidR="003159CE" w:rsidRPr="008A700A" w:rsidRDefault="003159CE" w:rsidP="003159CE">
      <w:pPr>
        <w:spacing w:line="240" w:lineRule="auto"/>
        <w:jc w:val="both"/>
        <w:rPr>
          <w:szCs w:val="24"/>
          <w:lang w:eastAsia="en-US"/>
        </w:rPr>
      </w:pPr>
    </w:p>
    <w:p w:rsidR="003159CE" w:rsidRPr="007A1BD8" w:rsidRDefault="003159CE" w:rsidP="003159CE">
      <w:pPr>
        <w:shd w:val="clear" w:color="auto" w:fill="FFFFFF"/>
        <w:spacing w:after="120" w:line="240" w:lineRule="auto"/>
        <w:rPr>
          <w:color w:val="000000"/>
          <w:spacing w:val="-5"/>
          <w:w w:val="101"/>
          <w:szCs w:val="24"/>
        </w:rPr>
      </w:pPr>
      <w:r>
        <w:rPr>
          <w:color w:val="000000"/>
          <w:spacing w:val="-5"/>
          <w:w w:val="101"/>
          <w:szCs w:val="24"/>
        </w:rPr>
        <w:t>Z</w:t>
      </w:r>
      <w:r w:rsidRPr="007A1BD8">
        <w:rPr>
          <w:color w:val="000000"/>
          <w:spacing w:val="-5"/>
          <w:w w:val="101"/>
          <w:szCs w:val="24"/>
        </w:rPr>
        <w:t xml:space="preserve">ajmoprimac: </w:t>
      </w:r>
      <w:r w:rsidRPr="007A1BD8">
        <w:rPr>
          <w:color w:val="000000"/>
          <w:spacing w:val="-5"/>
          <w:w w:val="101"/>
          <w:szCs w:val="24"/>
        </w:rPr>
        <w:tab/>
      </w:r>
      <w:r w:rsidRPr="007A1BD8">
        <w:rPr>
          <w:color w:val="000000"/>
          <w:spacing w:val="-5"/>
          <w:w w:val="101"/>
          <w:szCs w:val="24"/>
        </w:rPr>
        <w:tab/>
      </w:r>
      <w:r w:rsidRPr="006D2D4C">
        <w:rPr>
          <w:color w:val="000000"/>
          <w:spacing w:val="-5"/>
          <w:w w:val="101"/>
          <w:szCs w:val="24"/>
        </w:rPr>
        <w:t>Republika Hrvatska</w:t>
      </w:r>
      <w:r w:rsidRPr="006D2D4C" w:rsidDel="006D2D4C">
        <w:rPr>
          <w:color w:val="000000"/>
          <w:spacing w:val="-5"/>
          <w:w w:val="101"/>
          <w:szCs w:val="24"/>
        </w:rPr>
        <w:t xml:space="preserve"> </w:t>
      </w:r>
    </w:p>
    <w:p w:rsidR="003159CE" w:rsidRPr="007A1BD8" w:rsidRDefault="003159CE" w:rsidP="003159CE">
      <w:pPr>
        <w:shd w:val="clear" w:color="auto" w:fill="FFFFFF"/>
        <w:spacing w:after="120" w:line="240" w:lineRule="auto"/>
        <w:jc w:val="both"/>
        <w:rPr>
          <w:szCs w:val="24"/>
        </w:rPr>
      </w:pPr>
      <w:r>
        <w:rPr>
          <w:color w:val="000000"/>
          <w:spacing w:val="-5"/>
          <w:w w:val="101"/>
          <w:szCs w:val="24"/>
        </w:rPr>
        <w:t>Z</w:t>
      </w:r>
      <w:r w:rsidRPr="007A1BD8">
        <w:rPr>
          <w:color w:val="000000"/>
          <w:spacing w:val="-5"/>
          <w:w w:val="101"/>
          <w:szCs w:val="24"/>
        </w:rPr>
        <w:t xml:space="preserve">ajmodavac: </w:t>
      </w:r>
      <w:r w:rsidRPr="007A1BD8">
        <w:rPr>
          <w:color w:val="000000"/>
          <w:spacing w:val="-5"/>
          <w:w w:val="101"/>
          <w:szCs w:val="24"/>
        </w:rPr>
        <w:tab/>
      </w:r>
      <w:r w:rsidRPr="007A1BD8">
        <w:rPr>
          <w:color w:val="000000"/>
          <w:spacing w:val="-5"/>
          <w:w w:val="101"/>
          <w:szCs w:val="24"/>
        </w:rPr>
        <w:tab/>
      </w:r>
      <w:r w:rsidRPr="007A1BD8">
        <w:rPr>
          <w:color w:val="000000"/>
          <w:spacing w:val="-2"/>
          <w:w w:val="101"/>
          <w:szCs w:val="24"/>
        </w:rPr>
        <w:t>Međunarodna banka za obnovu i razvoj</w:t>
      </w:r>
      <w:r>
        <w:rPr>
          <w:color w:val="000000"/>
          <w:spacing w:val="-2"/>
          <w:w w:val="101"/>
          <w:szCs w:val="24"/>
        </w:rPr>
        <w:t xml:space="preserve"> (IBRD)</w:t>
      </w:r>
    </w:p>
    <w:p w:rsidR="003159CE" w:rsidRPr="007A1BD8" w:rsidRDefault="003159CE" w:rsidP="003159CE">
      <w:pPr>
        <w:shd w:val="clear" w:color="auto" w:fill="FFFFFF"/>
        <w:spacing w:after="120" w:line="240" w:lineRule="auto"/>
        <w:rPr>
          <w:color w:val="000000"/>
          <w:spacing w:val="-4"/>
          <w:w w:val="101"/>
          <w:szCs w:val="24"/>
        </w:rPr>
      </w:pPr>
      <w:r>
        <w:rPr>
          <w:color w:val="000000"/>
          <w:spacing w:val="-4"/>
          <w:w w:val="101"/>
          <w:szCs w:val="24"/>
        </w:rPr>
        <w:t>I</w:t>
      </w:r>
      <w:r w:rsidRPr="007A1BD8">
        <w:rPr>
          <w:color w:val="000000"/>
          <w:spacing w:val="-4"/>
          <w:w w:val="101"/>
          <w:szCs w:val="24"/>
        </w:rPr>
        <w:t xml:space="preserve">znos zajma: </w:t>
      </w:r>
      <w:r w:rsidRPr="007A1BD8">
        <w:rPr>
          <w:color w:val="000000"/>
          <w:spacing w:val="-4"/>
          <w:w w:val="101"/>
          <w:szCs w:val="24"/>
        </w:rPr>
        <w:tab/>
      </w:r>
      <w:r w:rsidRPr="007A1BD8">
        <w:rPr>
          <w:color w:val="000000"/>
          <w:spacing w:val="-4"/>
          <w:w w:val="101"/>
          <w:szCs w:val="24"/>
        </w:rPr>
        <w:tab/>
      </w:r>
      <w:r w:rsidRPr="007A1BD8">
        <w:rPr>
          <w:color w:val="000000"/>
          <w:spacing w:val="-2"/>
          <w:w w:val="101"/>
          <w:szCs w:val="24"/>
        </w:rPr>
        <w:t>2</w:t>
      </w:r>
      <w:r>
        <w:rPr>
          <w:color w:val="000000"/>
          <w:spacing w:val="-2"/>
          <w:w w:val="101"/>
          <w:szCs w:val="24"/>
        </w:rPr>
        <w:t>5</w:t>
      </w:r>
      <w:r w:rsidRPr="007A1BD8">
        <w:rPr>
          <w:color w:val="000000"/>
          <w:spacing w:val="-2"/>
          <w:w w:val="101"/>
          <w:szCs w:val="24"/>
        </w:rPr>
        <w:t xml:space="preserve">.000.000,00 EUR (slovima: </w:t>
      </w:r>
      <w:proofErr w:type="spellStart"/>
      <w:r>
        <w:rPr>
          <w:color w:val="000000"/>
          <w:spacing w:val="-2"/>
          <w:w w:val="101"/>
          <w:szCs w:val="24"/>
        </w:rPr>
        <w:t>dvadesetpet</w:t>
      </w:r>
      <w:r w:rsidRPr="007A1BD8">
        <w:rPr>
          <w:color w:val="000000"/>
          <w:spacing w:val="-2"/>
          <w:w w:val="101"/>
          <w:szCs w:val="24"/>
        </w:rPr>
        <w:t>milijuna</w:t>
      </w:r>
      <w:proofErr w:type="spellEnd"/>
      <w:r w:rsidRPr="007A1BD8">
        <w:rPr>
          <w:color w:val="000000"/>
          <w:spacing w:val="-2"/>
          <w:w w:val="101"/>
          <w:szCs w:val="24"/>
        </w:rPr>
        <w:t xml:space="preserve"> eura)</w:t>
      </w:r>
    </w:p>
    <w:p w:rsidR="003159CE" w:rsidRPr="007A1BD8" w:rsidRDefault="003159CE" w:rsidP="003159CE">
      <w:pPr>
        <w:shd w:val="clear" w:color="auto" w:fill="FFFFFF"/>
        <w:spacing w:after="120" w:line="240" w:lineRule="auto"/>
        <w:ind w:left="2160" w:hanging="2160"/>
        <w:rPr>
          <w:color w:val="000000"/>
          <w:spacing w:val="-5"/>
          <w:w w:val="101"/>
          <w:szCs w:val="24"/>
        </w:rPr>
      </w:pPr>
      <w:r>
        <w:rPr>
          <w:color w:val="000000"/>
          <w:spacing w:val="-5"/>
          <w:w w:val="101"/>
          <w:szCs w:val="24"/>
        </w:rPr>
        <w:t xml:space="preserve">Namjena: </w:t>
      </w:r>
      <w:r>
        <w:rPr>
          <w:color w:val="000000"/>
          <w:spacing w:val="-5"/>
          <w:w w:val="101"/>
          <w:szCs w:val="24"/>
        </w:rPr>
        <w:tab/>
        <w:t>podrška</w:t>
      </w:r>
      <w:r w:rsidRPr="00E56588">
        <w:rPr>
          <w:color w:val="000000"/>
          <w:spacing w:val="-5"/>
          <w:w w:val="101"/>
          <w:szCs w:val="24"/>
        </w:rPr>
        <w:t xml:space="preserve"> Republici Hrvatskoj u poboljšanju pravičnosti u obrazovanju uvođenjem modela cjelodnevne nastave i povećanju institucionalne sposobnost Ministarstva znanosti i obrazovanja za provedbu obrazovnih reformi</w:t>
      </w:r>
    </w:p>
    <w:p w:rsidR="003159CE" w:rsidRPr="007A1BD8" w:rsidRDefault="003159CE" w:rsidP="003159CE">
      <w:pPr>
        <w:shd w:val="clear" w:color="auto" w:fill="FFFFFF"/>
        <w:spacing w:after="120" w:line="240" w:lineRule="auto"/>
        <w:jc w:val="both"/>
        <w:rPr>
          <w:szCs w:val="24"/>
        </w:rPr>
      </w:pPr>
      <w:r>
        <w:rPr>
          <w:color w:val="000000"/>
          <w:spacing w:val="-4"/>
          <w:w w:val="101"/>
          <w:szCs w:val="24"/>
        </w:rPr>
        <w:t>R</w:t>
      </w:r>
      <w:r w:rsidRPr="007A1BD8">
        <w:rPr>
          <w:color w:val="000000"/>
          <w:spacing w:val="-4"/>
          <w:w w:val="101"/>
          <w:szCs w:val="24"/>
        </w:rPr>
        <w:t>ok otplate:</w:t>
      </w:r>
      <w:r w:rsidRPr="007A1BD8">
        <w:rPr>
          <w:color w:val="000000"/>
          <w:spacing w:val="-4"/>
          <w:w w:val="101"/>
          <w:szCs w:val="24"/>
        </w:rPr>
        <w:tab/>
      </w:r>
      <w:r w:rsidRPr="007A1BD8">
        <w:rPr>
          <w:color w:val="000000"/>
          <w:spacing w:val="-4"/>
          <w:w w:val="101"/>
          <w:szCs w:val="24"/>
        </w:rPr>
        <w:tab/>
      </w:r>
      <w:r w:rsidRPr="007A1BD8">
        <w:rPr>
          <w:color w:val="000000"/>
          <w:spacing w:val="-2"/>
          <w:w w:val="101"/>
          <w:szCs w:val="24"/>
        </w:rPr>
        <w:t>1</w:t>
      </w:r>
      <w:r>
        <w:rPr>
          <w:color w:val="000000"/>
          <w:spacing w:val="-2"/>
          <w:w w:val="101"/>
          <w:szCs w:val="24"/>
        </w:rPr>
        <w:t>0,</w:t>
      </w:r>
      <w:r w:rsidRPr="007A1BD8">
        <w:rPr>
          <w:color w:val="000000"/>
          <w:spacing w:val="-2"/>
          <w:w w:val="101"/>
          <w:szCs w:val="24"/>
        </w:rPr>
        <w:t xml:space="preserve">5 godina (uključujući </w:t>
      </w:r>
      <w:r>
        <w:rPr>
          <w:color w:val="000000"/>
          <w:spacing w:val="-2"/>
          <w:w w:val="101"/>
          <w:szCs w:val="24"/>
        </w:rPr>
        <w:t xml:space="preserve"> 5</w:t>
      </w:r>
      <w:r w:rsidRPr="007A1BD8">
        <w:rPr>
          <w:color w:val="000000"/>
          <w:spacing w:val="-2"/>
          <w:w w:val="101"/>
          <w:szCs w:val="24"/>
        </w:rPr>
        <w:t xml:space="preserve"> godina počeka)</w:t>
      </w:r>
    </w:p>
    <w:p w:rsidR="003159CE" w:rsidRPr="007A1BD8" w:rsidRDefault="003159CE" w:rsidP="003159CE">
      <w:pPr>
        <w:shd w:val="clear" w:color="auto" w:fill="FFFFFF"/>
        <w:spacing w:after="120" w:line="240" w:lineRule="auto"/>
        <w:ind w:left="2127" w:hanging="2127"/>
        <w:jc w:val="both"/>
        <w:rPr>
          <w:color w:val="000000"/>
          <w:spacing w:val="-2"/>
          <w:w w:val="101"/>
          <w:szCs w:val="24"/>
        </w:rPr>
      </w:pPr>
      <w:r>
        <w:rPr>
          <w:color w:val="000000"/>
          <w:spacing w:val="-5"/>
          <w:w w:val="101"/>
          <w:szCs w:val="24"/>
        </w:rPr>
        <w:t>K</w:t>
      </w:r>
      <w:r w:rsidRPr="007A1BD8">
        <w:rPr>
          <w:color w:val="000000"/>
          <w:spacing w:val="-5"/>
          <w:w w:val="101"/>
          <w:szCs w:val="24"/>
        </w:rPr>
        <w:t>amatna stopa:</w:t>
      </w:r>
      <w:r w:rsidRPr="007A1BD8">
        <w:rPr>
          <w:color w:val="000000"/>
          <w:spacing w:val="-5"/>
          <w:w w:val="101"/>
          <w:szCs w:val="24"/>
        </w:rPr>
        <w:tab/>
      </w:r>
      <w:r w:rsidRPr="007A1BD8">
        <w:rPr>
          <w:color w:val="000000"/>
          <w:spacing w:val="-2"/>
          <w:w w:val="101"/>
          <w:szCs w:val="24"/>
        </w:rPr>
        <w:t>6-mjesečni EURIBOR uvećan za promjenjivu kamatnu maržu</w:t>
      </w:r>
    </w:p>
    <w:p w:rsidR="003159CE" w:rsidRPr="007A1BD8" w:rsidRDefault="003159CE" w:rsidP="003159CE">
      <w:pPr>
        <w:shd w:val="clear" w:color="auto" w:fill="FFFFFF"/>
        <w:spacing w:after="120" w:line="240" w:lineRule="auto"/>
        <w:jc w:val="both"/>
        <w:rPr>
          <w:color w:val="000000"/>
          <w:spacing w:val="-10"/>
          <w:w w:val="101"/>
          <w:szCs w:val="24"/>
        </w:rPr>
      </w:pPr>
      <w:r>
        <w:rPr>
          <w:color w:val="000000"/>
          <w:spacing w:val="-10"/>
          <w:w w:val="101"/>
          <w:szCs w:val="24"/>
        </w:rPr>
        <w:t>D</w:t>
      </w:r>
      <w:r w:rsidRPr="007A1BD8">
        <w:rPr>
          <w:color w:val="000000"/>
          <w:spacing w:val="-10"/>
          <w:w w:val="101"/>
          <w:szCs w:val="24"/>
        </w:rPr>
        <w:t xml:space="preserve">ospijeća: </w:t>
      </w:r>
      <w:r w:rsidRPr="007A1BD8">
        <w:rPr>
          <w:color w:val="000000"/>
          <w:spacing w:val="-10"/>
          <w:w w:val="101"/>
          <w:szCs w:val="24"/>
        </w:rPr>
        <w:tab/>
      </w:r>
      <w:r w:rsidRPr="007A1BD8">
        <w:rPr>
          <w:color w:val="000000"/>
          <w:spacing w:val="-10"/>
          <w:w w:val="101"/>
          <w:szCs w:val="24"/>
        </w:rPr>
        <w:tab/>
        <w:t>polugodišnja</w:t>
      </w:r>
    </w:p>
    <w:p w:rsidR="003159CE" w:rsidRDefault="003159CE" w:rsidP="003159CE">
      <w:pPr>
        <w:shd w:val="clear" w:color="auto" w:fill="FFFFFF"/>
        <w:spacing w:line="240" w:lineRule="auto"/>
        <w:rPr>
          <w:color w:val="000000"/>
          <w:spacing w:val="-10"/>
          <w:w w:val="101"/>
          <w:szCs w:val="24"/>
        </w:rPr>
      </w:pPr>
      <w:r>
        <w:rPr>
          <w:color w:val="000000"/>
          <w:spacing w:val="-10"/>
          <w:w w:val="101"/>
          <w:szCs w:val="24"/>
        </w:rPr>
        <w:t>N</w:t>
      </w:r>
      <w:r w:rsidRPr="007A1BD8">
        <w:rPr>
          <w:color w:val="000000"/>
          <w:spacing w:val="-10"/>
          <w:w w:val="101"/>
          <w:szCs w:val="24"/>
        </w:rPr>
        <w:t xml:space="preserve">aknade: </w:t>
      </w:r>
      <w:r w:rsidRPr="007A1BD8">
        <w:rPr>
          <w:color w:val="000000"/>
          <w:spacing w:val="-10"/>
          <w:w w:val="101"/>
          <w:szCs w:val="24"/>
        </w:rPr>
        <w:tab/>
      </w:r>
      <w:r w:rsidRPr="007A1BD8">
        <w:rPr>
          <w:color w:val="000000"/>
          <w:spacing w:val="-10"/>
          <w:w w:val="101"/>
          <w:szCs w:val="24"/>
        </w:rPr>
        <w:tab/>
        <w:t>početna naknada iznosi 0,25% iznosa glavnice zajma</w:t>
      </w:r>
    </w:p>
    <w:p w:rsidR="003159CE" w:rsidRPr="00FA5B29" w:rsidRDefault="003159CE" w:rsidP="003159CE">
      <w:pPr>
        <w:shd w:val="clear" w:color="auto" w:fill="FFFFFF"/>
        <w:spacing w:line="240" w:lineRule="auto"/>
        <w:rPr>
          <w:color w:val="000000"/>
          <w:spacing w:val="-10"/>
          <w:w w:val="101"/>
          <w:szCs w:val="24"/>
        </w:rPr>
      </w:pPr>
      <w:r>
        <w:rPr>
          <w:color w:val="000000"/>
          <w:spacing w:val="-10"/>
          <w:w w:val="101"/>
          <w:szCs w:val="24"/>
        </w:rPr>
        <w:tab/>
      </w:r>
      <w:r>
        <w:rPr>
          <w:color w:val="000000"/>
          <w:spacing w:val="-10"/>
          <w:w w:val="101"/>
          <w:szCs w:val="24"/>
        </w:rPr>
        <w:tab/>
      </w:r>
      <w:r>
        <w:rPr>
          <w:color w:val="000000"/>
          <w:spacing w:val="-10"/>
          <w:w w:val="101"/>
          <w:szCs w:val="24"/>
        </w:rPr>
        <w:tab/>
      </w:r>
      <w:r w:rsidRPr="003E63BF">
        <w:rPr>
          <w:color w:val="000000"/>
          <w:spacing w:val="-10"/>
          <w:w w:val="101"/>
          <w:szCs w:val="24"/>
        </w:rPr>
        <w:t xml:space="preserve">a naknada na </w:t>
      </w:r>
      <w:proofErr w:type="spellStart"/>
      <w:r w:rsidRPr="003E63BF">
        <w:rPr>
          <w:color w:val="000000"/>
          <w:spacing w:val="-10"/>
          <w:w w:val="101"/>
          <w:szCs w:val="24"/>
        </w:rPr>
        <w:t>nepovučena</w:t>
      </w:r>
      <w:proofErr w:type="spellEnd"/>
      <w:r w:rsidRPr="003E63BF">
        <w:rPr>
          <w:color w:val="000000"/>
          <w:spacing w:val="-10"/>
          <w:w w:val="101"/>
          <w:szCs w:val="24"/>
        </w:rPr>
        <w:t xml:space="preserve"> sredstva 0,25% na iznos </w:t>
      </w:r>
      <w:proofErr w:type="spellStart"/>
      <w:r w:rsidRPr="003E63BF">
        <w:rPr>
          <w:color w:val="000000"/>
          <w:spacing w:val="-10"/>
          <w:w w:val="101"/>
          <w:szCs w:val="24"/>
        </w:rPr>
        <w:t>nepovučenih</w:t>
      </w:r>
      <w:proofErr w:type="spellEnd"/>
      <w:r w:rsidRPr="003E63BF">
        <w:rPr>
          <w:color w:val="000000"/>
          <w:spacing w:val="-10"/>
          <w:w w:val="101"/>
          <w:szCs w:val="24"/>
        </w:rPr>
        <w:t xml:space="preserve"> sredstava</w:t>
      </w:r>
    </w:p>
    <w:p w:rsidR="003159CE" w:rsidRDefault="003159CE" w:rsidP="003159CE">
      <w:pPr>
        <w:spacing w:line="168" w:lineRule="auto"/>
        <w:jc w:val="both"/>
        <w:rPr>
          <w:szCs w:val="24"/>
        </w:rPr>
      </w:pPr>
    </w:p>
    <w:p w:rsidR="003159CE" w:rsidRPr="00E16DDC" w:rsidRDefault="003159CE" w:rsidP="003159CE">
      <w:pPr>
        <w:spacing w:after="120" w:line="240" w:lineRule="auto"/>
        <w:jc w:val="both"/>
        <w:rPr>
          <w:szCs w:val="24"/>
        </w:rPr>
      </w:pPr>
      <w:r w:rsidRPr="00E16DDC">
        <w:rPr>
          <w:szCs w:val="24"/>
        </w:rPr>
        <w:t>U odnosu na tekstove N</w:t>
      </w:r>
      <w:r>
        <w:rPr>
          <w:szCs w:val="24"/>
        </w:rPr>
        <w:t>acrta ugovora o zajmu</w:t>
      </w:r>
      <w:r w:rsidRPr="00E16DDC">
        <w:rPr>
          <w:szCs w:val="24"/>
        </w:rPr>
        <w:t xml:space="preserve"> prihvaćenog Odlukom o pokretanju postupka </w:t>
      </w:r>
      <w:r>
        <w:rPr>
          <w:szCs w:val="24"/>
        </w:rPr>
        <w:t>pojašnjene su odredbe o stupanju na snagu Ugovora, kao i potreba zapošljavanja stručnjaka za okoliš i socijalna pitanja.</w:t>
      </w:r>
      <w:r w:rsidRPr="00E16DDC">
        <w:rPr>
          <w:szCs w:val="24"/>
        </w:rPr>
        <w:t xml:space="preserve"> Detalji pregovora sadržani su u Zapisniku s pregovora, koji odražava usuglašene stavove ugovornih strana. Usuglašeni tekst Ugovora o zajmu </w:t>
      </w:r>
      <w:r>
        <w:rPr>
          <w:szCs w:val="24"/>
        </w:rPr>
        <w:t xml:space="preserve">na </w:t>
      </w:r>
      <w:r w:rsidRPr="00E16DDC">
        <w:rPr>
          <w:szCs w:val="24"/>
        </w:rPr>
        <w:t xml:space="preserve">engleskom jeziku, kao dio usuglašenog Zapisnika s pregovora, prilažu se predmetnom Izvješću kao njegov sastavni dio. Sadržaj </w:t>
      </w:r>
      <w:r>
        <w:rPr>
          <w:szCs w:val="24"/>
        </w:rPr>
        <w:t>P</w:t>
      </w:r>
      <w:r w:rsidRPr="00E16DDC">
        <w:rPr>
          <w:szCs w:val="24"/>
        </w:rPr>
        <w:t xml:space="preserve">rojekta, koji će se financirati zajmom, tijekom pregovora nije </w:t>
      </w:r>
      <w:r>
        <w:rPr>
          <w:szCs w:val="24"/>
        </w:rPr>
        <w:t xml:space="preserve">u bitnom </w:t>
      </w:r>
      <w:r w:rsidRPr="00E16DDC">
        <w:rPr>
          <w:szCs w:val="24"/>
        </w:rPr>
        <w:t xml:space="preserve">mijenjan. </w:t>
      </w:r>
    </w:p>
    <w:p w:rsidR="003159CE" w:rsidRPr="00E16DDC" w:rsidRDefault="003159CE" w:rsidP="003159CE">
      <w:pPr>
        <w:spacing w:after="120" w:line="240" w:lineRule="auto"/>
        <w:jc w:val="both"/>
        <w:rPr>
          <w:szCs w:val="24"/>
        </w:rPr>
      </w:pPr>
      <w:r w:rsidRPr="00E16DDC">
        <w:rPr>
          <w:szCs w:val="24"/>
        </w:rPr>
        <w:t xml:space="preserve">Zapisnik s pregovora, koji sadrži pregled osnovnih tema o kojima se pregovaralo i usuglašene stavove, potpisao je </w:t>
      </w:r>
      <w:r>
        <w:rPr>
          <w:szCs w:val="24"/>
        </w:rPr>
        <w:t>15</w:t>
      </w:r>
      <w:r w:rsidRPr="008A700A">
        <w:rPr>
          <w:szCs w:val="24"/>
        </w:rPr>
        <w:t xml:space="preserve">. </w:t>
      </w:r>
      <w:r>
        <w:rPr>
          <w:szCs w:val="24"/>
        </w:rPr>
        <w:t>listopada</w:t>
      </w:r>
      <w:r w:rsidRPr="008A700A">
        <w:rPr>
          <w:szCs w:val="24"/>
        </w:rPr>
        <w:t xml:space="preserve"> 2021. godine</w:t>
      </w:r>
      <w:r w:rsidRPr="00E16DDC">
        <w:rPr>
          <w:szCs w:val="24"/>
        </w:rPr>
        <w:t xml:space="preserve"> g. Stipe </w:t>
      </w:r>
      <w:r>
        <w:rPr>
          <w:szCs w:val="24"/>
        </w:rPr>
        <w:t>Mamić</w:t>
      </w:r>
      <w:r w:rsidRPr="00E16DDC">
        <w:rPr>
          <w:szCs w:val="24"/>
        </w:rPr>
        <w:t xml:space="preserve">, državni tajnik u Ministarstvu </w:t>
      </w:r>
      <w:r>
        <w:rPr>
          <w:szCs w:val="24"/>
        </w:rPr>
        <w:t>znanosti i obrazovanja</w:t>
      </w:r>
      <w:r w:rsidRPr="00E16DDC">
        <w:rPr>
          <w:szCs w:val="24"/>
        </w:rPr>
        <w:t xml:space="preserve">, kao ovlašteni voditelj izaslanstva Republike Hrvatske za vođenje pregovora, u skladu s Odlukom o pokretanju postupka. U ime IBRD-a, Zapisnik je potpisao g. </w:t>
      </w:r>
      <w:r>
        <w:rPr>
          <w:szCs w:val="24"/>
        </w:rPr>
        <w:t xml:space="preserve">Diego </w:t>
      </w:r>
      <w:proofErr w:type="spellStart"/>
      <w:r>
        <w:rPr>
          <w:szCs w:val="24"/>
        </w:rPr>
        <w:t>Ambasz</w:t>
      </w:r>
      <w:proofErr w:type="spellEnd"/>
      <w:r w:rsidRPr="00E16DDC">
        <w:rPr>
          <w:szCs w:val="24"/>
        </w:rPr>
        <w:t>, voditelj projektnog tima</w:t>
      </w:r>
      <w:r>
        <w:rPr>
          <w:szCs w:val="24"/>
        </w:rPr>
        <w:t xml:space="preserve">. </w:t>
      </w:r>
    </w:p>
    <w:p w:rsidR="003159CE" w:rsidRDefault="003159CE" w:rsidP="003159CE">
      <w:pPr>
        <w:spacing w:after="120" w:line="240" w:lineRule="auto"/>
        <w:jc w:val="both"/>
        <w:rPr>
          <w:szCs w:val="24"/>
        </w:rPr>
      </w:pPr>
      <w:r w:rsidRPr="00E16DDC">
        <w:rPr>
          <w:szCs w:val="24"/>
        </w:rPr>
        <w:t xml:space="preserve">Za odobrenje </w:t>
      </w:r>
      <w:r>
        <w:rPr>
          <w:szCs w:val="24"/>
        </w:rPr>
        <w:t xml:space="preserve">Projekta </w:t>
      </w:r>
      <w:r w:rsidRPr="00E16DDC">
        <w:rPr>
          <w:szCs w:val="24"/>
        </w:rPr>
        <w:t xml:space="preserve">od strane Odbora izvršnih direktora IBRD-a na sjednici u </w:t>
      </w:r>
      <w:r>
        <w:rPr>
          <w:szCs w:val="24"/>
        </w:rPr>
        <w:t>prosincu</w:t>
      </w:r>
      <w:r w:rsidRPr="00E16DDC">
        <w:rPr>
          <w:szCs w:val="24"/>
        </w:rPr>
        <w:t xml:space="preserve"> 2021. godine, IBRD-u je potrebno žurno dostaviti suglasnost Vlade Republike Hrvatske i odobrenje usuglašenih dokumenata koji su bili predmetom pregovora.</w:t>
      </w:r>
    </w:p>
    <w:p w:rsidR="003159CE" w:rsidRDefault="003159CE" w:rsidP="003159CE">
      <w:pPr>
        <w:spacing w:line="240" w:lineRule="auto"/>
        <w:jc w:val="right"/>
        <w:rPr>
          <w:b/>
          <w:szCs w:val="24"/>
        </w:rPr>
      </w:pPr>
    </w:p>
    <w:p w:rsidR="003159CE" w:rsidRDefault="003159CE" w:rsidP="003159CE">
      <w:pPr>
        <w:spacing w:line="240" w:lineRule="auto"/>
        <w:jc w:val="right"/>
        <w:rPr>
          <w:b/>
          <w:szCs w:val="24"/>
        </w:rPr>
      </w:pPr>
    </w:p>
    <w:p w:rsidR="00C171D2" w:rsidRDefault="00C171D2">
      <w:bookmarkStart w:id="0" w:name="_GoBack"/>
      <w:bookmarkEnd w:id="0"/>
    </w:p>
    <w:sectPr w:rsidR="00C17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yponineSans Reg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9CE"/>
    <w:rsid w:val="003159CE"/>
    <w:rsid w:val="00C1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0722B9-403B-4BA1-9DA4-D9A859986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9CE"/>
    <w:pPr>
      <w:spacing w:after="0" w:line="242" w:lineRule="auto"/>
    </w:pPr>
    <w:rPr>
      <w:rFonts w:ascii="Times New Roman" w:eastAsia="Times New Roman" w:hAnsi="Times New Roman" w:cs="Times New Roman"/>
      <w:sz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yponineSans">
    <w:name w:val="TyponineSans"/>
    <w:basedOn w:val="Normal"/>
    <w:next w:val="Normal"/>
    <w:qFormat/>
    <w:rsid w:val="003159CE"/>
    <w:pPr>
      <w:contextualSpacing/>
    </w:pPr>
    <w:rPr>
      <w:rFonts w:ascii="TyponineSans Reg" w:eastAsia="TyponineSans Reg" w:hAnsi="TyponineSans Reg" w:cs="TyponineSans Reg"/>
      <w:smallCap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AZJMDCZ6QSYZ-12-4302</_dlc_DocId>
    <_dlc_DocIdUrl xmlns="a494813a-d0d8-4dad-94cb-0d196f36ba15">
      <Url>https://ekoordinacije.vlada.hr/sjednice-drustvo/_layouts/15/DocIdRedir.aspx?ID=AZJMDCZ6QSYZ-12-4302</Url>
      <Description>AZJMDCZ6QSYZ-12-4302</Description>
    </_dlc_DocIdUrl>
  </documentManagement>
</p:properties>
</file>

<file path=customXml/itemProps1.xml><?xml version="1.0" encoding="utf-8"?>
<ds:datastoreItem xmlns:ds="http://schemas.openxmlformats.org/officeDocument/2006/customXml" ds:itemID="{E5283D59-6234-48E3-A5B7-04E0EE6EB2B1}"/>
</file>

<file path=customXml/itemProps2.xml><?xml version="1.0" encoding="utf-8"?>
<ds:datastoreItem xmlns:ds="http://schemas.openxmlformats.org/officeDocument/2006/customXml" ds:itemID="{C3D600DC-FAF5-4924-85A9-A23EAC34C118}"/>
</file>

<file path=customXml/itemProps3.xml><?xml version="1.0" encoding="utf-8"?>
<ds:datastoreItem xmlns:ds="http://schemas.openxmlformats.org/officeDocument/2006/customXml" ds:itemID="{ED4D3192-8F70-423A-99A4-691CF2A44739}"/>
</file>

<file path=customXml/itemProps4.xml><?xml version="1.0" encoding="utf-8"?>
<ds:datastoreItem xmlns:ds="http://schemas.openxmlformats.org/officeDocument/2006/customXml" ds:itemID="{BC8A202E-6924-4610-B393-FB032249E9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Horvat</dc:creator>
  <cp:keywords/>
  <dc:description/>
  <cp:lastModifiedBy>Mia Horvat</cp:lastModifiedBy>
  <cp:revision>1</cp:revision>
  <dcterms:created xsi:type="dcterms:W3CDTF">2021-10-27T10:56:00Z</dcterms:created>
  <dcterms:modified xsi:type="dcterms:W3CDTF">2021-10-27T10:56:00Z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14619cf1-32d6-4cc9-bb7b-cdfba0b7d702</vt:lpwstr>
  </property>
</Properties>
</file>